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D67D5" w14:textId="77777777" w:rsidR="00D20C25" w:rsidRPr="00AE003F" w:rsidRDefault="00BA4273">
      <w:pPr>
        <w:rPr>
          <w:sz w:val="20"/>
          <w:szCs w:val="20"/>
        </w:rPr>
      </w:pPr>
      <w:r>
        <w:rPr>
          <w:noProof/>
          <w:lang w:eastAsia="fr-CA"/>
        </w:rPr>
        <w:drawing>
          <wp:inline distT="0" distB="0" distL="0" distR="0" wp14:anchorId="6729B2B1" wp14:editId="45B926B0">
            <wp:extent cx="1429634" cy="3124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34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AE003F">
        <w:rPr>
          <w:rFonts w:ascii="Arial" w:hAnsi="Arial" w:cs="Arial"/>
          <w:b/>
          <w:sz w:val="20"/>
          <w:szCs w:val="20"/>
        </w:rPr>
        <w:t xml:space="preserve">TABLEAU DES MODIFICATIONS AU </w:t>
      </w:r>
      <w:r w:rsidR="00D82B36">
        <w:rPr>
          <w:rFonts w:ascii="Arial" w:hAnsi="Arial" w:cs="Arial"/>
          <w:b/>
          <w:sz w:val="20"/>
          <w:szCs w:val="20"/>
        </w:rPr>
        <w:t>IAS</w:t>
      </w:r>
      <w:r w:rsidRPr="00AE003F">
        <w:rPr>
          <w:rFonts w:ascii="Arial" w:hAnsi="Arial" w:cs="Arial"/>
          <w:b/>
          <w:sz w:val="20"/>
          <w:szCs w:val="20"/>
        </w:rPr>
        <w:t xml:space="preserve"> VERSION 2022</w:t>
      </w:r>
    </w:p>
    <w:p w14:paraId="286550F7" w14:textId="77777777" w:rsidR="00BA4273" w:rsidRPr="00AE003F" w:rsidRDefault="00BA4273" w:rsidP="00BA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DFCD80" w14:textId="77777777" w:rsidR="00BA4273" w:rsidRPr="00AE003F" w:rsidRDefault="00BA4273" w:rsidP="00BA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003F">
        <w:rPr>
          <w:rFonts w:ascii="Arial" w:hAnsi="Arial" w:cs="Arial"/>
          <w:sz w:val="20"/>
          <w:szCs w:val="20"/>
        </w:rPr>
        <w:t xml:space="preserve">*Note : le texte </w:t>
      </w:r>
      <w:r w:rsidRPr="00AE003F">
        <w:rPr>
          <w:rFonts w:ascii="Arial" w:hAnsi="Arial" w:cs="Arial"/>
          <w:i/>
          <w:iCs/>
          <w:sz w:val="20"/>
          <w:szCs w:val="20"/>
        </w:rPr>
        <w:t xml:space="preserve">en italique </w:t>
      </w:r>
      <w:r w:rsidR="003F6C3D">
        <w:rPr>
          <w:rFonts w:ascii="Arial" w:hAnsi="Arial" w:cs="Arial"/>
          <w:i/>
          <w:iCs/>
          <w:sz w:val="20"/>
          <w:szCs w:val="20"/>
        </w:rPr>
        <w:t xml:space="preserve">et en rouge </w:t>
      </w:r>
      <w:r w:rsidRPr="00AE003F">
        <w:rPr>
          <w:rFonts w:ascii="Arial" w:hAnsi="Arial" w:cs="Arial"/>
          <w:sz w:val="20"/>
          <w:szCs w:val="20"/>
        </w:rPr>
        <w:t>représente une modification ou un ajo</w:t>
      </w:r>
      <w:r w:rsidR="00D82B36">
        <w:rPr>
          <w:rFonts w:ascii="Arial" w:hAnsi="Arial" w:cs="Arial"/>
          <w:sz w:val="20"/>
          <w:szCs w:val="20"/>
        </w:rPr>
        <w:t>ut à la nouvelle version au IAS</w:t>
      </w:r>
      <w:r w:rsidRPr="00AE003F">
        <w:rPr>
          <w:rFonts w:ascii="Arial" w:hAnsi="Arial" w:cs="Arial"/>
          <w:sz w:val="20"/>
          <w:szCs w:val="20"/>
        </w:rPr>
        <w:t xml:space="preserve"> 2022. Les corrections orthographiques ne sont pas indiquées. Le texte du CCAG officiel a préséance sur le présent document. </w:t>
      </w:r>
    </w:p>
    <w:p w14:paraId="11DB8311" w14:textId="77777777" w:rsidR="00BA4273" w:rsidRDefault="00BA4273" w:rsidP="00BA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3FD54E" w14:textId="77777777" w:rsidR="00BA4273" w:rsidRDefault="00BA4273" w:rsidP="00BA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0"/>
        <w:gridCol w:w="2872"/>
        <w:gridCol w:w="2888"/>
      </w:tblGrid>
      <w:tr w:rsidR="00BA4273" w:rsidRPr="00AE003F" w14:paraId="2712EEF7" w14:textId="77777777" w:rsidTr="00264AFE">
        <w:tc>
          <w:tcPr>
            <w:tcW w:w="8781" w:type="dxa"/>
            <w:gridSpan w:val="3"/>
            <w:tcBorders>
              <w:bottom w:val="single" w:sz="4" w:space="0" w:color="auto"/>
            </w:tcBorders>
            <w:shd w:val="solid" w:color="FF0000" w:fill="auto"/>
          </w:tcPr>
          <w:p w14:paraId="04E6D8AC" w14:textId="77777777" w:rsidR="00BA4273" w:rsidRPr="00AE003F" w:rsidRDefault="00D82B36" w:rsidP="00D82B36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Instructions aux soumissionnaires (IAS)</w:t>
            </w:r>
            <w:r w:rsidR="00BA4273" w:rsidRPr="00AE00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– Exécution de travaux :</w:t>
            </w:r>
          </w:p>
        </w:tc>
      </w:tr>
      <w:tr w:rsidR="00BA4273" w:rsidRPr="00AE003F" w14:paraId="62D48317" w14:textId="77777777" w:rsidTr="00264AFE">
        <w:tc>
          <w:tcPr>
            <w:tcW w:w="2927" w:type="dxa"/>
            <w:shd w:val="solid" w:color="auto" w:fill="auto"/>
          </w:tcPr>
          <w:p w14:paraId="1C664137" w14:textId="77777777" w:rsidR="00BA4273" w:rsidRPr="00AE003F" w:rsidRDefault="00BA4273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0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 de l’article du</w:t>
            </w:r>
          </w:p>
          <w:p w14:paraId="19E09966" w14:textId="77777777" w:rsidR="00BA4273" w:rsidRPr="00AE003F" w:rsidRDefault="00D82B36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IAS</w:t>
            </w:r>
            <w:r w:rsidR="0060702A" w:rsidRPr="00AE00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novembre 2022</w:t>
            </w:r>
          </w:p>
        </w:tc>
        <w:tc>
          <w:tcPr>
            <w:tcW w:w="2927" w:type="dxa"/>
            <w:shd w:val="solid" w:color="auto" w:fill="auto"/>
          </w:tcPr>
          <w:p w14:paraId="58699D4B" w14:textId="77777777" w:rsidR="00BA4273" w:rsidRPr="00AE003F" w:rsidRDefault="00BA4273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0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 de l’article du</w:t>
            </w:r>
          </w:p>
          <w:p w14:paraId="66C42BC6" w14:textId="77777777" w:rsidR="00BA4273" w:rsidRPr="00AE003F" w:rsidRDefault="00D82B36" w:rsidP="00852EF5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IAS</w:t>
            </w:r>
            <w:r w:rsidR="00852EF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septembre</w:t>
            </w:r>
            <w:r w:rsidR="00BA4273" w:rsidRPr="00AE00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20</w:t>
            </w:r>
            <w:r w:rsidR="0060702A" w:rsidRPr="00AE00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2927" w:type="dxa"/>
            <w:shd w:val="solid" w:color="auto" w:fill="auto"/>
          </w:tcPr>
          <w:p w14:paraId="0ED0297E" w14:textId="77777777" w:rsidR="00BA4273" w:rsidRPr="00AE003F" w:rsidRDefault="00BA4273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0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Modification</w:t>
            </w:r>
          </w:p>
        </w:tc>
      </w:tr>
      <w:tr w:rsidR="0060702A" w:rsidRPr="00AE003F" w14:paraId="171E983A" w14:textId="77777777" w:rsidTr="00264AFE">
        <w:tc>
          <w:tcPr>
            <w:tcW w:w="8781" w:type="dxa"/>
            <w:gridSpan w:val="3"/>
            <w:shd w:val="solid" w:color="A6A6A6" w:themeColor="background1" w:themeShade="A6" w:fill="auto"/>
          </w:tcPr>
          <w:p w14:paraId="0DB5EBAA" w14:textId="77777777" w:rsidR="0060702A" w:rsidRPr="00AE003F" w:rsidRDefault="0060702A" w:rsidP="0060702A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0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1-Définitions</w:t>
            </w:r>
          </w:p>
        </w:tc>
      </w:tr>
      <w:tr w:rsidR="00BA4273" w:rsidRPr="00AE003F" w14:paraId="34B78AB9" w14:textId="77777777" w:rsidTr="00264AFE">
        <w:tc>
          <w:tcPr>
            <w:tcW w:w="2927" w:type="dxa"/>
            <w:tcBorders>
              <w:bottom w:val="single" w:sz="4" w:space="0" w:color="auto"/>
            </w:tcBorders>
          </w:tcPr>
          <w:p w14:paraId="0BC296C8" w14:textId="77777777" w:rsidR="00BA4273" w:rsidRPr="00AE003F" w:rsidRDefault="00D82B36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431F227D" w14:textId="77777777" w:rsidR="00BA4273" w:rsidRPr="00AE003F" w:rsidRDefault="00D82B36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1C7AF938" w14:textId="77777777" w:rsidR="00BA4273" w:rsidRPr="00D82B36" w:rsidRDefault="00D82B36" w:rsidP="00D36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Reformulation de l’article pour </w:t>
            </w:r>
            <w:r w:rsidR="00160C0F" w:rsidRPr="00AE003F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="00160C0F" w:rsidRPr="00160C0F">
              <w:rPr>
                <w:rFonts w:ascii="Arial" w:hAnsi="Arial" w:cs="Arial"/>
                <w:i/>
                <w:color w:val="FF0000"/>
                <w:sz w:val="20"/>
                <w:szCs w:val="20"/>
              </w:rPr>
              <w:t>Dans le présent document, lorsque les termes ci-dessous comportent une majuscule, ils ont le sens qui est défini à l’article 1 - Définitions - du Cahier des clauses administratives générales</w:t>
            </w:r>
            <w:r w:rsidR="00160C0F"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</w:tc>
      </w:tr>
      <w:tr w:rsidR="00160C0F" w:rsidRPr="00160C0F" w14:paraId="57E392D1" w14:textId="77777777" w:rsidTr="00264AFE">
        <w:tc>
          <w:tcPr>
            <w:tcW w:w="8781" w:type="dxa"/>
            <w:gridSpan w:val="3"/>
            <w:shd w:val="solid" w:color="A6A6A6" w:themeColor="background1" w:themeShade="A6" w:fill="auto"/>
          </w:tcPr>
          <w:p w14:paraId="0051A996" w14:textId="77777777" w:rsidR="00160C0F" w:rsidRPr="00160C0F" w:rsidRDefault="00160C0F" w:rsidP="00D3603A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60C0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2-Conditions relatives à la préparation de la Soumission</w:t>
            </w:r>
          </w:p>
        </w:tc>
      </w:tr>
      <w:tr w:rsidR="00BA4273" w:rsidRPr="00AE003F" w14:paraId="33CECF96" w14:textId="77777777" w:rsidTr="00264AFE">
        <w:tc>
          <w:tcPr>
            <w:tcW w:w="2927" w:type="dxa"/>
          </w:tcPr>
          <w:p w14:paraId="50844606" w14:textId="77777777" w:rsidR="00BA4273" w:rsidRPr="00AE003F" w:rsidRDefault="00160C0F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2.4.1</w:t>
            </w:r>
          </w:p>
        </w:tc>
        <w:tc>
          <w:tcPr>
            <w:tcW w:w="2927" w:type="dxa"/>
          </w:tcPr>
          <w:p w14:paraId="7D7F4432" w14:textId="77777777" w:rsidR="00BA4273" w:rsidRPr="00AE003F" w:rsidRDefault="00160C0F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Ajout</w:t>
            </w:r>
          </w:p>
        </w:tc>
        <w:tc>
          <w:tcPr>
            <w:tcW w:w="2927" w:type="dxa"/>
          </w:tcPr>
          <w:p w14:paraId="16682136" w14:textId="77777777" w:rsidR="00891A3D" w:rsidRPr="00160C0F" w:rsidRDefault="00160C0F" w:rsidP="00160C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Création du sous-article</w:t>
            </w:r>
            <w:r w:rsidR="001E0CDB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1E0CDB" w:rsidRPr="00AE003F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="001E0CDB" w:rsidRPr="001E0CDB">
              <w:rPr>
                <w:rFonts w:ascii="Arial" w:hAnsi="Arial" w:cs="Arial"/>
                <w:i/>
                <w:color w:val="FF0000"/>
                <w:sz w:val="20"/>
                <w:szCs w:val="20"/>
              </w:rPr>
              <w:t>S’il y a lieu de clarifier ou de modifier l’Appel d’offres, la Ville émettra un Addenda.</w:t>
            </w:r>
            <w:r w:rsidR="001E0CDB"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</w:tc>
      </w:tr>
      <w:tr w:rsidR="00BA4273" w:rsidRPr="00AE003F" w14:paraId="047B7333" w14:textId="77777777" w:rsidTr="00264AFE">
        <w:tc>
          <w:tcPr>
            <w:tcW w:w="2927" w:type="dxa"/>
          </w:tcPr>
          <w:p w14:paraId="1FFE8576" w14:textId="77777777" w:rsidR="00BA4273" w:rsidRPr="00AE003F" w:rsidRDefault="00852EF5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2.5.3</w:t>
            </w:r>
          </w:p>
        </w:tc>
        <w:tc>
          <w:tcPr>
            <w:tcW w:w="2927" w:type="dxa"/>
          </w:tcPr>
          <w:p w14:paraId="0252BCCA" w14:textId="77777777" w:rsidR="00BA4273" w:rsidRPr="00AE003F" w:rsidRDefault="00852EF5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Ajout</w:t>
            </w:r>
          </w:p>
        </w:tc>
        <w:tc>
          <w:tcPr>
            <w:tcW w:w="2927" w:type="dxa"/>
          </w:tcPr>
          <w:p w14:paraId="3B213859" w14:textId="77777777" w:rsidR="00BA4273" w:rsidRPr="00AE003F" w:rsidRDefault="00852EF5" w:rsidP="00852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Création du sous-article :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852EF5">
              <w:rPr>
                <w:rFonts w:ascii="Arial" w:hAnsi="Arial" w:cs="Arial"/>
                <w:i/>
                <w:color w:val="FF0000"/>
                <w:sz w:val="20"/>
                <w:szCs w:val="20"/>
              </w:rPr>
              <w:t>Toute rature faite sur le Formulaire de soumission doit être paraphée par le signataire de la Soumission.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 »</w:t>
            </w:r>
          </w:p>
        </w:tc>
      </w:tr>
      <w:tr w:rsidR="00BA4273" w:rsidRPr="00AE003F" w14:paraId="6D10CD8C" w14:textId="77777777" w:rsidTr="00264AFE">
        <w:tc>
          <w:tcPr>
            <w:tcW w:w="2927" w:type="dxa"/>
          </w:tcPr>
          <w:p w14:paraId="0EFF0CE0" w14:textId="77777777" w:rsidR="00BA4273" w:rsidRPr="00AE003F" w:rsidRDefault="00852EF5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2.10.1</w:t>
            </w:r>
          </w:p>
        </w:tc>
        <w:tc>
          <w:tcPr>
            <w:tcW w:w="2927" w:type="dxa"/>
          </w:tcPr>
          <w:p w14:paraId="699D9A54" w14:textId="77777777" w:rsidR="00BA4273" w:rsidRPr="00AE003F" w:rsidRDefault="00852EF5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2.10.1</w:t>
            </w:r>
          </w:p>
        </w:tc>
        <w:tc>
          <w:tcPr>
            <w:tcW w:w="2927" w:type="dxa"/>
          </w:tcPr>
          <w:p w14:paraId="5E36881E" w14:textId="77777777" w:rsidR="00CB1482" w:rsidRPr="00852EF5" w:rsidRDefault="00852EF5" w:rsidP="00852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2EF5">
              <w:rPr>
                <w:rFonts w:ascii="Arial" w:hAnsi="Arial" w:cs="Arial"/>
                <w:sz w:val="20"/>
                <w:szCs w:val="20"/>
              </w:rPr>
              <w:t>Modification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de l’article :</w:t>
            </w:r>
            <w:r w:rsidRPr="00852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852EF5">
              <w:rPr>
                <w:rFonts w:ascii="Arial" w:hAnsi="Arial" w:cs="Arial"/>
                <w:i/>
                <w:sz w:val="20"/>
                <w:szCs w:val="20"/>
              </w:rPr>
              <w:t xml:space="preserve">Le Soumissionnaire doit, </w:t>
            </w:r>
            <w:r w:rsidRPr="00852EF5">
              <w:rPr>
                <w:rFonts w:ascii="Arial" w:hAnsi="Arial" w:cs="Arial"/>
                <w:i/>
                <w:strike/>
                <w:sz w:val="20"/>
                <w:szCs w:val="20"/>
              </w:rPr>
              <w:t>à la date de</w:t>
            </w:r>
            <w:r w:rsidRPr="00852EF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EF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au moment du </w:t>
            </w:r>
            <w:r w:rsidRPr="00852EF5">
              <w:rPr>
                <w:rFonts w:ascii="Arial" w:hAnsi="Arial" w:cs="Arial"/>
                <w:i/>
                <w:sz w:val="20"/>
                <w:szCs w:val="20"/>
              </w:rPr>
              <w:t>dépôt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</w:tc>
      </w:tr>
      <w:tr w:rsidR="00CB1482" w:rsidRPr="00AE003F" w14:paraId="7263F9FC" w14:textId="77777777" w:rsidTr="00264AFE">
        <w:tc>
          <w:tcPr>
            <w:tcW w:w="2927" w:type="dxa"/>
          </w:tcPr>
          <w:p w14:paraId="38AA6E38" w14:textId="77777777" w:rsidR="00CB1482" w:rsidRPr="00AE003F" w:rsidRDefault="00A420D4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2.10.6</w:t>
            </w:r>
          </w:p>
        </w:tc>
        <w:tc>
          <w:tcPr>
            <w:tcW w:w="2927" w:type="dxa"/>
          </w:tcPr>
          <w:p w14:paraId="7D5325A5" w14:textId="77777777" w:rsidR="00CB1482" w:rsidRPr="00AE003F" w:rsidRDefault="00A420D4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Ajout</w:t>
            </w:r>
          </w:p>
        </w:tc>
        <w:tc>
          <w:tcPr>
            <w:tcW w:w="2927" w:type="dxa"/>
          </w:tcPr>
          <w:p w14:paraId="79D819D5" w14:textId="77777777" w:rsidR="00CB1482" w:rsidRPr="00AE003F" w:rsidRDefault="0021173C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Intégration d’un nouvel article suite à la loi 96 qui apporte des modifications à la </w:t>
            </w:r>
            <w:r w:rsidRPr="0021173C">
              <w:rPr>
                <w:rFonts w:ascii="Arial" w:hAnsi="Arial" w:cs="Arial"/>
                <w:i/>
                <w:sz w:val="20"/>
                <w:szCs w:val="20"/>
              </w:rPr>
              <w:t>Charte de la langue française</w:t>
            </w:r>
          </w:p>
        </w:tc>
      </w:tr>
      <w:tr w:rsidR="00050F81" w:rsidRPr="00AE003F" w14:paraId="6AC07C6D" w14:textId="77777777" w:rsidTr="00264AFE">
        <w:tc>
          <w:tcPr>
            <w:tcW w:w="8781" w:type="dxa"/>
            <w:gridSpan w:val="3"/>
            <w:shd w:val="solid" w:color="A6A6A6" w:themeColor="background1" w:themeShade="A6" w:fill="auto"/>
          </w:tcPr>
          <w:p w14:paraId="007A3143" w14:textId="77777777" w:rsidR="00050F81" w:rsidRPr="00AE003F" w:rsidRDefault="00852EF5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2EF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3-Conditions relatives à la soumission</w:t>
            </w:r>
          </w:p>
        </w:tc>
      </w:tr>
      <w:tr w:rsidR="00CB1482" w:rsidRPr="00AE003F" w14:paraId="09793C7F" w14:textId="77777777" w:rsidTr="00264AFE">
        <w:tc>
          <w:tcPr>
            <w:tcW w:w="2927" w:type="dxa"/>
            <w:tcBorders>
              <w:bottom w:val="single" w:sz="4" w:space="0" w:color="auto"/>
            </w:tcBorders>
          </w:tcPr>
          <w:p w14:paraId="75725E6D" w14:textId="77777777" w:rsidR="00CB1482" w:rsidRPr="00AE003F" w:rsidRDefault="00F6716D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3.8.4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3F9D786E" w14:textId="77777777" w:rsidR="00CB1482" w:rsidRPr="00AE003F" w:rsidRDefault="00F6716D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3.8.4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1721DF1E" w14:textId="77777777" w:rsidR="00CB1482" w:rsidRPr="00AE003F" w:rsidRDefault="00F6716D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Modification du terme </w:t>
            </w:r>
            <w:r w:rsidRPr="00852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F6716D">
              <w:rPr>
                <w:rFonts w:ascii="Arial" w:hAnsi="Arial" w:cs="Arial"/>
                <w:i/>
                <w:sz w:val="20"/>
                <w:szCs w:val="20"/>
                <w:u w:val="single"/>
              </w:rPr>
              <w:t>Frais généraux de chantier, assurances et garanties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pour </w:t>
            </w:r>
            <w:r w:rsidRPr="00852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F6716D">
              <w:rPr>
                <w:rFonts w:ascii="Arial" w:hAnsi="Arial" w:cs="Arial"/>
                <w:i/>
                <w:color w:val="FF0000"/>
                <w:sz w:val="20"/>
                <w:szCs w:val="20"/>
              </w:rPr>
              <w:t>Frais généraux de chantier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</w:tr>
      <w:tr w:rsidR="00F6716D" w:rsidRPr="00AE003F" w14:paraId="2AF7B325" w14:textId="77777777" w:rsidTr="00264AFE">
        <w:tc>
          <w:tcPr>
            <w:tcW w:w="2927" w:type="dxa"/>
            <w:tcBorders>
              <w:bottom w:val="single" w:sz="4" w:space="0" w:color="auto"/>
            </w:tcBorders>
          </w:tcPr>
          <w:p w14:paraId="0B128944" w14:textId="77777777" w:rsidR="00F6716D" w:rsidRPr="00AE003F" w:rsidRDefault="00F6716D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3.9.6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6128A0DC" w14:textId="77777777" w:rsidR="00F6716D" w:rsidRPr="00AE003F" w:rsidRDefault="00F6716D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3.9.6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6EB009BC" w14:textId="77777777" w:rsidR="00F6716D" w:rsidRPr="00F6716D" w:rsidRDefault="00F6716D" w:rsidP="00F671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Modification des termes </w:t>
            </w:r>
            <w:r w:rsidRPr="00852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F6716D">
              <w:rPr>
                <w:rFonts w:ascii="Arial" w:hAnsi="Arial" w:cs="Arial"/>
                <w:i/>
                <w:sz w:val="20"/>
                <w:szCs w:val="20"/>
                <w:u w:val="single"/>
              </w:rPr>
              <w:t>Frais généraux de chantier, assurances et garanties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pour </w:t>
            </w:r>
            <w:r w:rsidRPr="00852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F6716D">
              <w:rPr>
                <w:rFonts w:ascii="Arial" w:hAnsi="Arial" w:cs="Arial"/>
                <w:i/>
                <w:color w:val="FF0000"/>
                <w:sz w:val="20"/>
                <w:szCs w:val="20"/>
              </w:rPr>
              <w:t>Frais généraux de chantier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et </w:t>
            </w:r>
            <w:r w:rsidRPr="00F6716D">
              <w:rPr>
                <w:rFonts w:ascii="Arial" w:hAnsi="Arial" w:cs="Arial"/>
                <w:i/>
                <w:sz w:val="20"/>
                <w:szCs w:val="20"/>
                <w:u w:val="single"/>
              </w:rPr>
              <w:t>Bordereau de</w:t>
            </w:r>
          </w:p>
          <w:p w14:paraId="72726E20" w14:textId="77777777" w:rsidR="00F6716D" w:rsidRPr="00AE003F" w:rsidRDefault="00F6716D" w:rsidP="00F671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716D">
              <w:rPr>
                <w:rFonts w:ascii="Arial" w:hAnsi="Arial" w:cs="Arial"/>
                <w:i/>
                <w:sz w:val="20"/>
                <w:szCs w:val="20"/>
                <w:u w:val="single"/>
              </w:rPr>
              <w:t>soumission du Formulaire de soumission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pour 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F6716D">
              <w:rPr>
                <w:rFonts w:ascii="Arial" w:hAnsi="Arial" w:cs="Arial"/>
                <w:i/>
                <w:color w:val="FF0000"/>
                <w:sz w:val="20"/>
                <w:szCs w:val="20"/>
              </w:rPr>
              <w:t>Bordereau de prix ou bordereau de prix ventilé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F6716D" w:rsidRPr="00AE003F" w14:paraId="4FBB0DA1" w14:textId="77777777" w:rsidTr="00264AFE">
        <w:tc>
          <w:tcPr>
            <w:tcW w:w="8781" w:type="dxa"/>
            <w:gridSpan w:val="3"/>
            <w:shd w:val="solid" w:color="A6A6A6" w:themeColor="background1" w:themeShade="A6" w:fill="auto"/>
          </w:tcPr>
          <w:p w14:paraId="7BA04D1B" w14:textId="77777777" w:rsidR="00F6716D" w:rsidRPr="00F6716D" w:rsidRDefault="00F6716D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716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4-Rejet automatique d’une Soumission</w:t>
            </w:r>
          </w:p>
        </w:tc>
      </w:tr>
      <w:tr w:rsidR="008C5DEF" w:rsidRPr="00AE003F" w14:paraId="58430465" w14:textId="77777777" w:rsidTr="006E4465">
        <w:tc>
          <w:tcPr>
            <w:tcW w:w="8781" w:type="dxa"/>
            <w:gridSpan w:val="3"/>
          </w:tcPr>
          <w:p w14:paraId="5606A70A" w14:textId="77777777" w:rsidR="008C5DEF" w:rsidRPr="00AE003F" w:rsidRDefault="008C5DEF" w:rsidP="008C5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Aucune modification</w:t>
            </w:r>
          </w:p>
        </w:tc>
      </w:tr>
      <w:tr w:rsidR="00F71DA0" w:rsidRPr="00AE003F" w14:paraId="61C0FAFC" w14:textId="77777777" w:rsidTr="00F71DA0">
        <w:tc>
          <w:tcPr>
            <w:tcW w:w="8781" w:type="dxa"/>
            <w:gridSpan w:val="3"/>
            <w:shd w:val="solid" w:color="A6A6A6" w:themeColor="background1" w:themeShade="A6" w:fill="auto"/>
          </w:tcPr>
          <w:p w14:paraId="1E0C87C3" w14:textId="77777777" w:rsidR="00F71DA0" w:rsidRPr="00AE003F" w:rsidRDefault="00F71DA0" w:rsidP="003D24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DA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5-Durée de validité des soumissions</w:t>
            </w:r>
          </w:p>
        </w:tc>
      </w:tr>
      <w:tr w:rsidR="0021173C" w:rsidRPr="00AE003F" w14:paraId="42D6CD1D" w14:textId="77777777" w:rsidTr="002F4C1D">
        <w:tc>
          <w:tcPr>
            <w:tcW w:w="8781" w:type="dxa"/>
            <w:gridSpan w:val="3"/>
          </w:tcPr>
          <w:p w14:paraId="436989C3" w14:textId="77777777" w:rsidR="0021173C" w:rsidRPr="00AE003F" w:rsidRDefault="0021173C" w:rsidP="00211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Aucune modification</w:t>
            </w:r>
          </w:p>
        </w:tc>
      </w:tr>
      <w:tr w:rsidR="00F6716D" w:rsidRPr="00AE003F" w14:paraId="01C907E9" w14:textId="77777777" w:rsidTr="00264AFE">
        <w:tc>
          <w:tcPr>
            <w:tcW w:w="8781" w:type="dxa"/>
            <w:gridSpan w:val="3"/>
            <w:shd w:val="solid" w:color="A6A6A6" w:themeColor="background1" w:themeShade="A6" w:fill="auto"/>
          </w:tcPr>
          <w:p w14:paraId="4587B21E" w14:textId="77777777" w:rsidR="00F6716D" w:rsidRPr="00AE003F" w:rsidRDefault="00F71DA0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DA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6-Analyse des soumissions</w:t>
            </w:r>
          </w:p>
        </w:tc>
      </w:tr>
      <w:tr w:rsidR="0021173C" w:rsidRPr="00AE003F" w14:paraId="18AAC6BB" w14:textId="77777777" w:rsidTr="00555FDC">
        <w:tc>
          <w:tcPr>
            <w:tcW w:w="8781" w:type="dxa"/>
            <w:gridSpan w:val="3"/>
          </w:tcPr>
          <w:p w14:paraId="18413569" w14:textId="77777777" w:rsidR="0021173C" w:rsidRPr="00AE003F" w:rsidRDefault="0021173C" w:rsidP="00211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Aucune modification</w:t>
            </w:r>
          </w:p>
        </w:tc>
      </w:tr>
      <w:tr w:rsidR="00F71DA0" w:rsidRPr="00AE003F" w14:paraId="30761AC2" w14:textId="77777777" w:rsidTr="00F71DA0">
        <w:tc>
          <w:tcPr>
            <w:tcW w:w="8781" w:type="dxa"/>
            <w:gridSpan w:val="3"/>
            <w:shd w:val="solid" w:color="A6A6A6" w:themeColor="background1" w:themeShade="A6" w:fill="auto"/>
          </w:tcPr>
          <w:p w14:paraId="6A96A648" w14:textId="77777777" w:rsidR="00F71DA0" w:rsidRPr="00AE003F" w:rsidRDefault="00F71DA0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DA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7-Défaut</w:t>
            </w:r>
          </w:p>
        </w:tc>
      </w:tr>
      <w:tr w:rsidR="0021173C" w:rsidRPr="00AE003F" w14:paraId="53FAD59C" w14:textId="77777777" w:rsidTr="005F13C7">
        <w:tc>
          <w:tcPr>
            <w:tcW w:w="8781" w:type="dxa"/>
            <w:gridSpan w:val="3"/>
            <w:tcBorders>
              <w:bottom w:val="single" w:sz="4" w:space="0" w:color="auto"/>
            </w:tcBorders>
          </w:tcPr>
          <w:p w14:paraId="3DED4EF5" w14:textId="77777777" w:rsidR="0021173C" w:rsidRPr="00AE003F" w:rsidRDefault="0021173C" w:rsidP="00211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Aucune modification</w:t>
            </w:r>
          </w:p>
        </w:tc>
      </w:tr>
      <w:tr w:rsidR="00F71DA0" w:rsidRPr="00AE003F" w14:paraId="6226219D" w14:textId="77777777" w:rsidTr="00F71DA0">
        <w:tc>
          <w:tcPr>
            <w:tcW w:w="8781" w:type="dxa"/>
            <w:gridSpan w:val="3"/>
            <w:shd w:val="solid" w:color="A6A6A6" w:themeColor="background1" w:themeShade="A6" w:fill="auto"/>
          </w:tcPr>
          <w:p w14:paraId="58E19BE2" w14:textId="77777777" w:rsidR="00F71DA0" w:rsidRPr="00F71DA0" w:rsidRDefault="00F71DA0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71DA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8-Remise des garanties</w:t>
            </w:r>
          </w:p>
        </w:tc>
      </w:tr>
      <w:tr w:rsidR="0021173C" w:rsidRPr="00AE003F" w14:paraId="358A2E2C" w14:textId="77777777" w:rsidTr="00821599">
        <w:tc>
          <w:tcPr>
            <w:tcW w:w="8781" w:type="dxa"/>
            <w:gridSpan w:val="3"/>
          </w:tcPr>
          <w:p w14:paraId="6BE46F2E" w14:textId="77777777" w:rsidR="0021173C" w:rsidRPr="00AE003F" w:rsidRDefault="0021173C" w:rsidP="00211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Aucune modification</w:t>
            </w:r>
          </w:p>
        </w:tc>
      </w:tr>
      <w:tr w:rsidR="00F71DA0" w:rsidRPr="00AE003F" w14:paraId="34794FB0" w14:textId="77777777" w:rsidTr="00F71DA0">
        <w:tc>
          <w:tcPr>
            <w:tcW w:w="8781" w:type="dxa"/>
            <w:gridSpan w:val="3"/>
            <w:shd w:val="solid" w:color="A6A6A6" w:themeColor="background1" w:themeShade="A6" w:fill="auto"/>
          </w:tcPr>
          <w:p w14:paraId="111A2E92" w14:textId="77777777" w:rsidR="00F71DA0" w:rsidRPr="00AE003F" w:rsidRDefault="00F71DA0" w:rsidP="00264A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DA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9-Confidentialité des soumissions</w:t>
            </w:r>
          </w:p>
        </w:tc>
      </w:tr>
      <w:tr w:rsidR="0021173C" w:rsidRPr="00AE003F" w14:paraId="7A8A0CF8" w14:textId="77777777" w:rsidTr="000D50C5">
        <w:tc>
          <w:tcPr>
            <w:tcW w:w="8781" w:type="dxa"/>
            <w:gridSpan w:val="3"/>
          </w:tcPr>
          <w:p w14:paraId="2CF2D2B4" w14:textId="77777777" w:rsidR="0021173C" w:rsidRPr="00AE003F" w:rsidRDefault="0021173C" w:rsidP="00211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Aucune modification</w:t>
            </w:r>
          </w:p>
        </w:tc>
      </w:tr>
      <w:tr w:rsidR="00F71DA0" w:rsidRPr="00AE003F" w14:paraId="002F4D01" w14:textId="77777777" w:rsidTr="00F71DA0">
        <w:tc>
          <w:tcPr>
            <w:tcW w:w="8781" w:type="dxa"/>
            <w:gridSpan w:val="3"/>
            <w:shd w:val="solid" w:color="A6A6A6" w:themeColor="background1" w:themeShade="A6" w:fill="auto"/>
          </w:tcPr>
          <w:p w14:paraId="1D206E2C" w14:textId="77777777" w:rsidR="00F71DA0" w:rsidRPr="00F71DA0" w:rsidRDefault="00F71DA0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DA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10-Langue du commerce et des affaires</w:t>
            </w:r>
          </w:p>
        </w:tc>
      </w:tr>
      <w:tr w:rsidR="0021173C" w:rsidRPr="00AE003F" w14:paraId="59A8C3AF" w14:textId="77777777" w:rsidTr="00EE739D">
        <w:tc>
          <w:tcPr>
            <w:tcW w:w="8781" w:type="dxa"/>
            <w:gridSpan w:val="3"/>
          </w:tcPr>
          <w:p w14:paraId="31A9C9A0" w14:textId="77777777" w:rsidR="0021173C" w:rsidRPr="00AE003F" w:rsidRDefault="0021173C" w:rsidP="00211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Aucune modification</w:t>
            </w:r>
          </w:p>
        </w:tc>
      </w:tr>
      <w:tr w:rsidR="00F71DA0" w:rsidRPr="00AE003F" w14:paraId="42E8B007" w14:textId="77777777" w:rsidTr="00F71DA0">
        <w:tc>
          <w:tcPr>
            <w:tcW w:w="8781" w:type="dxa"/>
            <w:gridSpan w:val="3"/>
            <w:shd w:val="solid" w:color="A6A6A6" w:themeColor="background1" w:themeShade="A6" w:fill="auto"/>
          </w:tcPr>
          <w:p w14:paraId="3A680085" w14:textId="77777777" w:rsidR="00F71DA0" w:rsidRPr="00F71DA0" w:rsidRDefault="00F71DA0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DA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11-Procédure sur la réception et l’examen des plaintes</w:t>
            </w:r>
          </w:p>
        </w:tc>
      </w:tr>
      <w:tr w:rsidR="0021173C" w:rsidRPr="00AE003F" w14:paraId="23A60B7D" w14:textId="77777777" w:rsidTr="004D3C3D">
        <w:tc>
          <w:tcPr>
            <w:tcW w:w="8781" w:type="dxa"/>
            <w:gridSpan w:val="3"/>
          </w:tcPr>
          <w:p w14:paraId="73B5E1D8" w14:textId="77777777" w:rsidR="0021173C" w:rsidRPr="00AE003F" w:rsidRDefault="0021173C" w:rsidP="00211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Aucune modification</w:t>
            </w:r>
          </w:p>
        </w:tc>
      </w:tr>
    </w:tbl>
    <w:p w14:paraId="3413832B" w14:textId="77777777" w:rsidR="00BA4273" w:rsidRPr="00BA4273" w:rsidRDefault="00BA4273" w:rsidP="00BA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9BCA68" w14:textId="77777777" w:rsidR="00BA4273" w:rsidRDefault="00BA4273"/>
    <w:p w14:paraId="52B0E40D" w14:textId="77777777" w:rsidR="00BA4273" w:rsidRDefault="00BA4273"/>
    <w:sectPr w:rsidR="00BA4273" w:rsidSect="00D81F7F">
      <w:footerReference w:type="default" r:id="rId8"/>
      <w:pgSz w:w="12240" w:h="15842"/>
      <w:pgMar w:top="1418" w:right="1800" w:bottom="1418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EE1E8" w14:textId="77777777" w:rsidR="00B43DB6" w:rsidRDefault="00B43DB6" w:rsidP="003D24DE">
      <w:pPr>
        <w:spacing w:after="0" w:line="240" w:lineRule="auto"/>
      </w:pPr>
      <w:r>
        <w:separator/>
      </w:r>
    </w:p>
  </w:endnote>
  <w:endnote w:type="continuationSeparator" w:id="0">
    <w:p w14:paraId="32A5CB3A" w14:textId="77777777" w:rsidR="00B43DB6" w:rsidRDefault="00B43DB6" w:rsidP="003D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55990" w14:textId="77777777" w:rsidR="003D24DE" w:rsidRDefault="003D24DE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Révision novembre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C5DEF" w:rsidRPr="008C5DEF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3759DAAE" w14:textId="77777777" w:rsidR="003D24DE" w:rsidRDefault="003D24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FE766" w14:textId="77777777" w:rsidR="00B43DB6" w:rsidRDefault="00B43DB6" w:rsidP="003D24DE">
      <w:pPr>
        <w:spacing w:after="0" w:line="240" w:lineRule="auto"/>
      </w:pPr>
      <w:r>
        <w:separator/>
      </w:r>
    </w:p>
  </w:footnote>
  <w:footnote w:type="continuationSeparator" w:id="0">
    <w:p w14:paraId="1C5F51FB" w14:textId="77777777" w:rsidR="00B43DB6" w:rsidRDefault="00B43DB6" w:rsidP="003D2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66F4"/>
    <w:multiLevelType w:val="multilevel"/>
    <w:tmpl w:val="FBAC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76887"/>
    <w:multiLevelType w:val="hybridMultilevel"/>
    <w:tmpl w:val="6574A57A"/>
    <w:lvl w:ilvl="0" w:tplc="A092A2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0D03"/>
    <w:multiLevelType w:val="hybridMultilevel"/>
    <w:tmpl w:val="216A60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3076B"/>
    <w:multiLevelType w:val="multilevel"/>
    <w:tmpl w:val="6494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F6597"/>
    <w:multiLevelType w:val="hybridMultilevel"/>
    <w:tmpl w:val="A492FADC"/>
    <w:lvl w:ilvl="0" w:tplc="40F68F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76AFA"/>
    <w:multiLevelType w:val="multilevel"/>
    <w:tmpl w:val="914A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lowerRoman"/>
        <w:lvlText w:val="%1."/>
        <w:lvlJc w:val="right"/>
      </w:lvl>
    </w:lvlOverride>
  </w:num>
  <w:num w:numId="5">
    <w:abstractNumId w:val="3"/>
  </w:num>
  <w:num w:numId="6">
    <w:abstractNumId w:val="5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73"/>
    <w:rsid w:val="00013851"/>
    <w:rsid w:val="0001625F"/>
    <w:rsid w:val="00050F81"/>
    <w:rsid w:val="00055486"/>
    <w:rsid w:val="000F43F6"/>
    <w:rsid w:val="001129D4"/>
    <w:rsid w:val="00160C0F"/>
    <w:rsid w:val="001910AB"/>
    <w:rsid w:val="001E0CDB"/>
    <w:rsid w:val="0021173C"/>
    <w:rsid w:val="00240FAD"/>
    <w:rsid w:val="00264AFE"/>
    <w:rsid w:val="002C47AF"/>
    <w:rsid w:val="00334390"/>
    <w:rsid w:val="003D18E8"/>
    <w:rsid w:val="003D24DE"/>
    <w:rsid w:val="003D3035"/>
    <w:rsid w:val="003E5649"/>
    <w:rsid w:val="003F6513"/>
    <w:rsid w:val="003F6C3D"/>
    <w:rsid w:val="0044572E"/>
    <w:rsid w:val="004705A5"/>
    <w:rsid w:val="0054394B"/>
    <w:rsid w:val="00550191"/>
    <w:rsid w:val="005B63E0"/>
    <w:rsid w:val="005B782A"/>
    <w:rsid w:val="0060702A"/>
    <w:rsid w:val="0070272F"/>
    <w:rsid w:val="0073705D"/>
    <w:rsid w:val="0074720F"/>
    <w:rsid w:val="00751354"/>
    <w:rsid w:val="007B5173"/>
    <w:rsid w:val="00852EF5"/>
    <w:rsid w:val="008642BC"/>
    <w:rsid w:val="00874875"/>
    <w:rsid w:val="00891A3D"/>
    <w:rsid w:val="008C307F"/>
    <w:rsid w:val="008C5DEF"/>
    <w:rsid w:val="008E7F4B"/>
    <w:rsid w:val="008F341C"/>
    <w:rsid w:val="0093163E"/>
    <w:rsid w:val="00935F2B"/>
    <w:rsid w:val="009A74CB"/>
    <w:rsid w:val="00A103F5"/>
    <w:rsid w:val="00A362FB"/>
    <w:rsid w:val="00A420D4"/>
    <w:rsid w:val="00AC0CBC"/>
    <w:rsid w:val="00AE003F"/>
    <w:rsid w:val="00B43DB6"/>
    <w:rsid w:val="00BA4273"/>
    <w:rsid w:val="00BD1D5A"/>
    <w:rsid w:val="00C02D10"/>
    <w:rsid w:val="00C26824"/>
    <w:rsid w:val="00CB1482"/>
    <w:rsid w:val="00D3603A"/>
    <w:rsid w:val="00D81F7F"/>
    <w:rsid w:val="00D82B36"/>
    <w:rsid w:val="00E10F27"/>
    <w:rsid w:val="00E57D73"/>
    <w:rsid w:val="00EB3408"/>
    <w:rsid w:val="00EC5DE0"/>
    <w:rsid w:val="00F0622D"/>
    <w:rsid w:val="00F5499B"/>
    <w:rsid w:val="00F6716D"/>
    <w:rsid w:val="00F71DA0"/>
    <w:rsid w:val="00FB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5CC9B"/>
  <w15:docId w15:val="{F6361A59-6069-4D89-8971-C522AE31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2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A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70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3D24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24DE"/>
  </w:style>
  <w:style w:type="paragraph" w:styleId="Pieddepage">
    <w:name w:val="footer"/>
    <w:basedOn w:val="Normal"/>
    <w:link w:val="PieddepageCar"/>
    <w:uiPriority w:val="99"/>
    <w:unhideWhenUsed/>
    <w:rsid w:val="003D24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Montréal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Rooward ANGIBEAU</dc:creator>
  <cp:lastModifiedBy>Raouia BOUREZAK</cp:lastModifiedBy>
  <cp:revision>2</cp:revision>
  <dcterms:created xsi:type="dcterms:W3CDTF">2022-12-13T16:45:00Z</dcterms:created>
  <dcterms:modified xsi:type="dcterms:W3CDTF">2022-12-13T16:45:00Z</dcterms:modified>
</cp:coreProperties>
</file>